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20" w:rsidRPr="00447C8B" w:rsidRDefault="00634BA8" w:rsidP="00447C8B">
      <w:pPr>
        <w:pStyle w:val="NoSpacing"/>
        <w:jc w:val="center"/>
        <w:rPr>
          <w:b/>
          <w:sz w:val="28"/>
          <w:szCs w:val="28"/>
          <w:u w:val="double"/>
        </w:rPr>
      </w:pPr>
      <w:r w:rsidRPr="00447C8B">
        <w:rPr>
          <w:b/>
          <w:sz w:val="28"/>
          <w:szCs w:val="28"/>
          <w:u w:val="double"/>
        </w:rPr>
        <w:t>ACTIVITIES ON BUILDING WORKS</w:t>
      </w:r>
    </w:p>
    <w:p w:rsidR="00634BA8" w:rsidRDefault="00634BA8" w:rsidP="00634BA8">
      <w:pPr>
        <w:pStyle w:val="NoSpacing"/>
      </w:pPr>
    </w:p>
    <w:p w:rsidR="00634BA8" w:rsidRDefault="00634BA8" w:rsidP="00447C8B">
      <w:pPr>
        <w:pStyle w:val="NoSpacing"/>
        <w:ind w:firstLine="720"/>
        <w:jc w:val="both"/>
      </w:pPr>
      <w:r>
        <w:t>One of the prime agendas of the State to improve the building infrastructures for opening the vistas of all round development activities is to undertake new building construction / maintaining the existing one located throughout the State and Works Department have a key role to play on this aspect. With the rapid addition of new building infrastructures across the various Government Departments added with backlogs of fairly good in number poses</w:t>
      </w:r>
      <w:r w:rsidR="00FE64B1">
        <w:t xml:space="preserve"> a huge challenge to accomplish the project in a scheduled time line.</w:t>
      </w:r>
    </w:p>
    <w:p w:rsidR="003000B8" w:rsidRDefault="003000B8" w:rsidP="00447C8B">
      <w:pPr>
        <w:pStyle w:val="NoSpacing"/>
        <w:jc w:val="both"/>
      </w:pPr>
    </w:p>
    <w:p w:rsidR="003000B8" w:rsidRDefault="003000B8" w:rsidP="00447C8B">
      <w:pPr>
        <w:pStyle w:val="NoSpacing"/>
        <w:ind w:firstLine="720"/>
        <w:jc w:val="both"/>
      </w:pPr>
      <w:r>
        <w:t>For this, constant evolution of comprehensive plan programme is an important feature to ensure smooth flow of funds to meet the systematic planned expenditure without any impediment in the pace of progress. A sneak preview of our activity verticals and funding for the year 2011-12 speaks the entire of spectrum of all round development.</w:t>
      </w:r>
    </w:p>
    <w:p w:rsidR="003000B8" w:rsidRDefault="003000B8" w:rsidP="00447C8B">
      <w:pPr>
        <w:pStyle w:val="NoSpacing"/>
        <w:jc w:val="both"/>
      </w:pPr>
    </w:p>
    <w:p w:rsidR="003000B8" w:rsidRPr="00447C8B" w:rsidRDefault="003000B8" w:rsidP="00634BA8">
      <w:pPr>
        <w:pStyle w:val="NoSpacing"/>
        <w:rPr>
          <w:b/>
          <w:u w:val="single"/>
        </w:rPr>
      </w:pPr>
      <w:r w:rsidRPr="00447C8B">
        <w:rPr>
          <w:b/>
          <w:u w:val="single"/>
        </w:rPr>
        <w:t>ACTIVITIES ON BUILDING WORKS FOR 2011-12</w:t>
      </w:r>
    </w:p>
    <w:p w:rsidR="003000B8" w:rsidRPr="00447C8B" w:rsidRDefault="00447C8B" w:rsidP="00447C8B">
      <w:pPr>
        <w:pStyle w:val="NoSpacing"/>
        <w:jc w:val="right"/>
        <w:rPr>
          <w:b/>
        </w:rPr>
      </w:pPr>
      <w:r w:rsidRPr="00447C8B">
        <w:rPr>
          <w:b/>
        </w:rPr>
        <w:t xml:space="preserve">(Rs in </w:t>
      </w:r>
      <w:proofErr w:type="spellStart"/>
      <w:r w:rsidRPr="00447C8B">
        <w:rPr>
          <w:b/>
        </w:rPr>
        <w:t>Lakh</w:t>
      </w:r>
      <w:proofErr w:type="spellEnd"/>
      <w:r w:rsidRPr="00447C8B">
        <w:rPr>
          <w:b/>
        </w:rPr>
        <w:t>)</w:t>
      </w:r>
    </w:p>
    <w:tbl>
      <w:tblPr>
        <w:tblStyle w:val="TableGrid"/>
        <w:tblW w:w="0" w:type="auto"/>
        <w:jc w:val="center"/>
        <w:tblLook w:val="04A0"/>
      </w:tblPr>
      <w:tblGrid>
        <w:gridCol w:w="1915"/>
        <w:gridCol w:w="1915"/>
        <w:gridCol w:w="1915"/>
        <w:gridCol w:w="1915"/>
        <w:gridCol w:w="1916"/>
      </w:tblGrid>
      <w:tr w:rsidR="003000B8" w:rsidTr="00447C8B">
        <w:trPr>
          <w:jc w:val="center"/>
        </w:trPr>
        <w:tc>
          <w:tcPr>
            <w:tcW w:w="1915" w:type="dxa"/>
            <w:vAlign w:val="center"/>
          </w:tcPr>
          <w:p w:rsidR="003000B8" w:rsidRPr="00447C8B" w:rsidRDefault="003000B8" w:rsidP="00447C8B">
            <w:pPr>
              <w:pStyle w:val="NoSpacing"/>
              <w:jc w:val="center"/>
              <w:rPr>
                <w:b/>
              </w:rPr>
            </w:pPr>
            <w:r w:rsidRPr="00447C8B">
              <w:rPr>
                <w:b/>
              </w:rPr>
              <w:t>Scheme</w:t>
            </w:r>
          </w:p>
        </w:tc>
        <w:tc>
          <w:tcPr>
            <w:tcW w:w="1915" w:type="dxa"/>
            <w:vAlign w:val="center"/>
          </w:tcPr>
          <w:p w:rsidR="003000B8" w:rsidRPr="00447C8B" w:rsidRDefault="003000B8" w:rsidP="00447C8B">
            <w:pPr>
              <w:pStyle w:val="NoSpacing"/>
              <w:jc w:val="center"/>
              <w:rPr>
                <w:b/>
              </w:rPr>
            </w:pPr>
            <w:r w:rsidRPr="00447C8B">
              <w:rPr>
                <w:b/>
              </w:rPr>
              <w:t>Budget Allocation</w:t>
            </w:r>
          </w:p>
        </w:tc>
        <w:tc>
          <w:tcPr>
            <w:tcW w:w="1915" w:type="dxa"/>
            <w:vAlign w:val="center"/>
          </w:tcPr>
          <w:p w:rsidR="003000B8" w:rsidRPr="00447C8B" w:rsidRDefault="003000B8" w:rsidP="00447C8B">
            <w:pPr>
              <w:pStyle w:val="NoSpacing"/>
              <w:jc w:val="center"/>
              <w:rPr>
                <w:b/>
              </w:rPr>
            </w:pPr>
            <w:r w:rsidRPr="00447C8B">
              <w:rPr>
                <w:b/>
              </w:rPr>
              <w:t>Expenditure</w:t>
            </w:r>
          </w:p>
        </w:tc>
        <w:tc>
          <w:tcPr>
            <w:tcW w:w="1915" w:type="dxa"/>
            <w:vAlign w:val="center"/>
          </w:tcPr>
          <w:p w:rsidR="003000B8" w:rsidRPr="00447C8B" w:rsidRDefault="003000B8" w:rsidP="00447C8B">
            <w:pPr>
              <w:pStyle w:val="NoSpacing"/>
              <w:jc w:val="center"/>
              <w:rPr>
                <w:b/>
              </w:rPr>
            </w:pPr>
            <w:r w:rsidRPr="00447C8B">
              <w:rPr>
                <w:b/>
              </w:rPr>
              <w:t>Total Projects taken up</w:t>
            </w:r>
          </w:p>
        </w:tc>
        <w:tc>
          <w:tcPr>
            <w:tcW w:w="1916" w:type="dxa"/>
            <w:vAlign w:val="center"/>
          </w:tcPr>
          <w:p w:rsidR="003000B8" w:rsidRPr="00447C8B" w:rsidRDefault="003000B8" w:rsidP="00447C8B">
            <w:pPr>
              <w:pStyle w:val="NoSpacing"/>
              <w:jc w:val="center"/>
              <w:rPr>
                <w:b/>
              </w:rPr>
            </w:pPr>
            <w:r w:rsidRPr="00447C8B">
              <w:rPr>
                <w:b/>
              </w:rPr>
              <w:t>Completed during the year</w:t>
            </w:r>
          </w:p>
        </w:tc>
      </w:tr>
      <w:tr w:rsidR="003000B8" w:rsidTr="00447C8B">
        <w:trPr>
          <w:jc w:val="center"/>
        </w:trPr>
        <w:tc>
          <w:tcPr>
            <w:tcW w:w="1915" w:type="dxa"/>
            <w:vAlign w:val="center"/>
          </w:tcPr>
          <w:p w:rsidR="003000B8" w:rsidRPr="00447C8B" w:rsidRDefault="003000B8" w:rsidP="00447C8B">
            <w:pPr>
              <w:pStyle w:val="NoSpacing"/>
              <w:jc w:val="center"/>
              <w:rPr>
                <w:b/>
              </w:rPr>
            </w:pPr>
            <w:r w:rsidRPr="00447C8B">
              <w:rPr>
                <w:b/>
              </w:rPr>
              <w:t>(1)</w:t>
            </w:r>
          </w:p>
        </w:tc>
        <w:tc>
          <w:tcPr>
            <w:tcW w:w="1915" w:type="dxa"/>
            <w:vAlign w:val="center"/>
          </w:tcPr>
          <w:p w:rsidR="003000B8" w:rsidRPr="00447C8B" w:rsidRDefault="003000B8" w:rsidP="00447C8B">
            <w:pPr>
              <w:pStyle w:val="NoSpacing"/>
              <w:jc w:val="center"/>
              <w:rPr>
                <w:b/>
              </w:rPr>
            </w:pPr>
            <w:r w:rsidRPr="00447C8B">
              <w:rPr>
                <w:b/>
              </w:rPr>
              <w:t>(2)</w:t>
            </w:r>
          </w:p>
        </w:tc>
        <w:tc>
          <w:tcPr>
            <w:tcW w:w="1915" w:type="dxa"/>
            <w:vAlign w:val="center"/>
          </w:tcPr>
          <w:p w:rsidR="003000B8" w:rsidRPr="00447C8B" w:rsidRDefault="003000B8" w:rsidP="00447C8B">
            <w:pPr>
              <w:pStyle w:val="NoSpacing"/>
              <w:jc w:val="center"/>
              <w:rPr>
                <w:b/>
              </w:rPr>
            </w:pPr>
            <w:r w:rsidRPr="00447C8B">
              <w:rPr>
                <w:b/>
              </w:rPr>
              <w:t>(3)</w:t>
            </w:r>
          </w:p>
        </w:tc>
        <w:tc>
          <w:tcPr>
            <w:tcW w:w="1915" w:type="dxa"/>
            <w:vAlign w:val="center"/>
          </w:tcPr>
          <w:p w:rsidR="003000B8" w:rsidRPr="00447C8B" w:rsidRDefault="003000B8" w:rsidP="00447C8B">
            <w:pPr>
              <w:pStyle w:val="NoSpacing"/>
              <w:jc w:val="center"/>
              <w:rPr>
                <w:b/>
              </w:rPr>
            </w:pPr>
            <w:r w:rsidRPr="00447C8B">
              <w:rPr>
                <w:b/>
              </w:rPr>
              <w:t>(4)</w:t>
            </w:r>
          </w:p>
        </w:tc>
        <w:tc>
          <w:tcPr>
            <w:tcW w:w="1916" w:type="dxa"/>
            <w:vAlign w:val="center"/>
          </w:tcPr>
          <w:p w:rsidR="003000B8" w:rsidRPr="00447C8B" w:rsidRDefault="003000B8" w:rsidP="00447C8B">
            <w:pPr>
              <w:pStyle w:val="NoSpacing"/>
              <w:jc w:val="center"/>
              <w:rPr>
                <w:b/>
              </w:rPr>
            </w:pPr>
            <w:r w:rsidRPr="00447C8B">
              <w:rPr>
                <w:b/>
              </w:rPr>
              <w:t>(5)</w:t>
            </w:r>
          </w:p>
        </w:tc>
      </w:tr>
      <w:tr w:rsidR="003000B8" w:rsidTr="00447C8B">
        <w:trPr>
          <w:jc w:val="center"/>
        </w:trPr>
        <w:tc>
          <w:tcPr>
            <w:tcW w:w="1915" w:type="dxa"/>
            <w:vAlign w:val="center"/>
          </w:tcPr>
          <w:p w:rsidR="003000B8" w:rsidRDefault="00724C03" w:rsidP="00447C8B">
            <w:pPr>
              <w:pStyle w:val="NoSpacing"/>
              <w:jc w:val="center"/>
            </w:pPr>
            <w:r>
              <w:t>SP</w:t>
            </w:r>
          </w:p>
        </w:tc>
        <w:tc>
          <w:tcPr>
            <w:tcW w:w="1915" w:type="dxa"/>
            <w:vAlign w:val="center"/>
          </w:tcPr>
          <w:p w:rsidR="003000B8" w:rsidRDefault="00724C03" w:rsidP="00447C8B">
            <w:pPr>
              <w:pStyle w:val="NoSpacing"/>
              <w:jc w:val="center"/>
            </w:pPr>
            <w:r>
              <w:t>13493.93</w:t>
            </w:r>
          </w:p>
        </w:tc>
        <w:tc>
          <w:tcPr>
            <w:tcW w:w="1915" w:type="dxa"/>
            <w:vAlign w:val="center"/>
          </w:tcPr>
          <w:p w:rsidR="003000B8" w:rsidRDefault="00724C03" w:rsidP="00447C8B">
            <w:pPr>
              <w:pStyle w:val="NoSpacing"/>
              <w:jc w:val="center"/>
            </w:pPr>
            <w:r>
              <w:t>8842.33</w:t>
            </w:r>
          </w:p>
        </w:tc>
        <w:tc>
          <w:tcPr>
            <w:tcW w:w="1915" w:type="dxa"/>
            <w:vAlign w:val="center"/>
          </w:tcPr>
          <w:p w:rsidR="003000B8" w:rsidRDefault="00724C03" w:rsidP="00447C8B">
            <w:pPr>
              <w:pStyle w:val="NoSpacing"/>
              <w:jc w:val="center"/>
            </w:pPr>
            <w:r>
              <w:t>284</w:t>
            </w:r>
          </w:p>
        </w:tc>
        <w:tc>
          <w:tcPr>
            <w:tcW w:w="1916" w:type="dxa"/>
            <w:vAlign w:val="center"/>
          </w:tcPr>
          <w:p w:rsidR="003000B8" w:rsidRDefault="00724C03" w:rsidP="00447C8B">
            <w:pPr>
              <w:pStyle w:val="NoSpacing"/>
              <w:jc w:val="center"/>
            </w:pPr>
            <w:r>
              <w:t>261</w:t>
            </w:r>
          </w:p>
        </w:tc>
      </w:tr>
      <w:tr w:rsidR="003000B8" w:rsidTr="00447C8B">
        <w:trPr>
          <w:jc w:val="center"/>
        </w:trPr>
        <w:tc>
          <w:tcPr>
            <w:tcW w:w="1915" w:type="dxa"/>
            <w:vAlign w:val="center"/>
          </w:tcPr>
          <w:p w:rsidR="003000B8" w:rsidRDefault="00724C03" w:rsidP="00447C8B">
            <w:pPr>
              <w:pStyle w:val="NoSpacing"/>
              <w:jc w:val="center"/>
            </w:pPr>
            <w:r>
              <w:t>CP</w:t>
            </w:r>
          </w:p>
        </w:tc>
        <w:tc>
          <w:tcPr>
            <w:tcW w:w="1915" w:type="dxa"/>
            <w:vAlign w:val="center"/>
          </w:tcPr>
          <w:p w:rsidR="003000B8" w:rsidRDefault="00724C03" w:rsidP="00447C8B">
            <w:pPr>
              <w:pStyle w:val="NoSpacing"/>
              <w:jc w:val="center"/>
            </w:pPr>
            <w:r>
              <w:t>564.15</w:t>
            </w:r>
          </w:p>
        </w:tc>
        <w:tc>
          <w:tcPr>
            <w:tcW w:w="1915" w:type="dxa"/>
            <w:vAlign w:val="center"/>
          </w:tcPr>
          <w:p w:rsidR="003000B8" w:rsidRDefault="00724C03" w:rsidP="00447C8B">
            <w:pPr>
              <w:pStyle w:val="NoSpacing"/>
              <w:jc w:val="center"/>
            </w:pPr>
            <w:r>
              <w:t>107.09</w:t>
            </w:r>
          </w:p>
        </w:tc>
        <w:tc>
          <w:tcPr>
            <w:tcW w:w="1915" w:type="dxa"/>
            <w:vAlign w:val="center"/>
          </w:tcPr>
          <w:p w:rsidR="003000B8" w:rsidRDefault="00724C03" w:rsidP="00447C8B">
            <w:pPr>
              <w:pStyle w:val="NoSpacing"/>
              <w:jc w:val="center"/>
            </w:pPr>
            <w:r>
              <w:t>8</w:t>
            </w:r>
          </w:p>
        </w:tc>
        <w:tc>
          <w:tcPr>
            <w:tcW w:w="1916" w:type="dxa"/>
            <w:vAlign w:val="center"/>
          </w:tcPr>
          <w:p w:rsidR="003000B8" w:rsidRDefault="00724C03" w:rsidP="00447C8B">
            <w:pPr>
              <w:pStyle w:val="NoSpacing"/>
              <w:jc w:val="center"/>
            </w:pPr>
            <w:r>
              <w:t>4</w:t>
            </w:r>
          </w:p>
        </w:tc>
      </w:tr>
      <w:tr w:rsidR="003000B8" w:rsidTr="00447C8B">
        <w:trPr>
          <w:jc w:val="center"/>
        </w:trPr>
        <w:tc>
          <w:tcPr>
            <w:tcW w:w="1915" w:type="dxa"/>
            <w:vAlign w:val="center"/>
          </w:tcPr>
          <w:p w:rsidR="003000B8" w:rsidRDefault="00724C03" w:rsidP="00447C8B">
            <w:pPr>
              <w:pStyle w:val="NoSpacing"/>
              <w:jc w:val="center"/>
            </w:pPr>
            <w:r>
              <w:t>NP</w:t>
            </w:r>
          </w:p>
        </w:tc>
        <w:tc>
          <w:tcPr>
            <w:tcW w:w="1915" w:type="dxa"/>
            <w:vAlign w:val="center"/>
          </w:tcPr>
          <w:p w:rsidR="003000B8" w:rsidRDefault="00724C03" w:rsidP="00447C8B">
            <w:pPr>
              <w:pStyle w:val="NoSpacing"/>
              <w:jc w:val="center"/>
            </w:pPr>
            <w:r>
              <w:t>28448.22</w:t>
            </w:r>
          </w:p>
        </w:tc>
        <w:tc>
          <w:tcPr>
            <w:tcW w:w="1915" w:type="dxa"/>
            <w:vAlign w:val="center"/>
          </w:tcPr>
          <w:p w:rsidR="003000B8" w:rsidRDefault="00724C03" w:rsidP="00447C8B">
            <w:pPr>
              <w:pStyle w:val="NoSpacing"/>
              <w:jc w:val="center"/>
            </w:pPr>
            <w:r>
              <w:t>27768.97</w:t>
            </w:r>
          </w:p>
        </w:tc>
        <w:tc>
          <w:tcPr>
            <w:tcW w:w="1915" w:type="dxa"/>
            <w:vAlign w:val="center"/>
          </w:tcPr>
          <w:p w:rsidR="003000B8" w:rsidRDefault="00724C03" w:rsidP="00447C8B">
            <w:pPr>
              <w:pStyle w:val="NoSpacing"/>
              <w:jc w:val="center"/>
            </w:pPr>
            <w:r>
              <w:t>3575</w:t>
            </w:r>
          </w:p>
        </w:tc>
        <w:tc>
          <w:tcPr>
            <w:tcW w:w="1916" w:type="dxa"/>
            <w:vAlign w:val="center"/>
          </w:tcPr>
          <w:p w:rsidR="003000B8" w:rsidRDefault="00724C03" w:rsidP="00447C8B">
            <w:pPr>
              <w:pStyle w:val="NoSpacing"/>
              <w:jc w:val="center"/>
            </w:pPr>
            <w:r>
              <w:t>3550</w:t>
            </w:r>
          </w:p>
        </w:tc>
      </w:tr>
      <w:tr w:rsidR="003000B8" w:rsidTr="00447C8B">
        <w:trPr>
          <w:jc w:val="center"/>
        </w:trPr>
        <w:tc>
          <w:tcPr>
            <w:tcW w:w="1915" w:type="dxa"/>
            <w:vAlign w:val="center"/>
          </w:tcPr>
          <w:p w:rsidR="003000B8" w:rsidRDefault="00724C03" w:rsidP="00447C8B">
            <w:pPr>
              <w:pStyle w:val="NoSpacing"/>
              <w:jc w:val="center"/>
            </w:pPr>
            <w:r>
              <w:t>13</w:t>
            </w:r>
            <w:r w:rsidRPr="00724C03">
              <w:rPr>
                <w:vertAlign w:val="superscript"/>
              </w:rPr>
              <w:t>th</w:t>
            </w:r>
            <w:r>
              <w:t xml:space="preserve"> FCA</w:t>
            </w:r>
          </w:p>
        </w:tc>
        <w:tc>
          <w:tcPr>
            <w:tcW w:w="1915" w:type="dxa"/>
            <w:vAlign w:val="center"/>
          </w:tcPr>
          <w:p w:rsidR="003000B8" w:rsidRDefault="00724C03" w:rsidP="00447C8B">
            <w:pPr>
              <w:pStyle w:val="NoSpacing"/>
              <w:jc w:val="center"/>
            </w:pPr>
            <w:r>
              <w:t>1099.70</w:t>
            </w:r>
          </w:p>
        </w:tc>
        <w:tc>
          <w:tcPr>
            <w:tcW w:w="1915" w:type="dxa"/>
            <w:vAlign w:val="center"/>
          </w:tcPr>
          <w:p w:rsidR="003000B8" w:rsidRDefault="00724C03" w:rsidP="00447C8B">
            <w:pPr>
              <w:pStyle w:val="NoSpacing"/>
              <w:jc w:val="center"/>
            </w:pPr>
            <w:r>
              <w:t>565.24</w:t>
            </w:r>
          </w:p>
        </w:tc>
        <w:tc>
          <w:tcPr>
            <w:tcW w:w="1915" w:type="dxa"/>
            <w:vAlign w:val="center"/>
          </w:tcPr>
          <w:p w:rsidR="003000B8" w:rsidRDefault="00724C03" w:rsidP="00447C8B">
            <w:pPr>
              <w:pStyle w:val="NoSpacing"/>
              <w:jc w:val="center"/>
            </w:pPr>
            <w:r>
              <w:t>4</w:t>
            </w:r>
          </w:p>
        </w:tc>
        <w:tc>
          <w:tcPr>
            <w:tcW w:w="1916" w:type="dxa"/>
            <w:vAlign w:val="center"/>
          </w:tcPr>
          <w:p w:rsidR="003000B8" w:rsidRDefault="00724C03" w:rsidP="00447C8B">
            <w:pPr>
              <w:pStyle w:val="NoSpacing"/>
              <w:jc w:val="center"/>
            </w:pPr>
            <w:r>
              <w:t>2</w:t>
            </w:r>
          </w:p>
        </w:tc>
      </w:tr>
      <w:tr w:rsidR="00724C03" w:rsidTr="00447C8B">
        <w:trPr>
          <w:jc w:val="center"/>
        </w:trPr>
        <w:tc>
          <w:tcPr>
            <w:tcW w:w="1915" w:type="dxa"/>
            <w:vAlign w:val="center"/>
          </w:tcPr>
          <w:p w:rsidR="00724C03" w:rsidRDefault="00724C03" w:rsidP="00447C8B">
            <w:pPr>
              <w:pStyle w:val="NoSpacing"/>
              <w:jc w:val="center"/>
            </w:pPr>
            <w:r>
              <w:t>Total=</w:t>
            </w:r>
          </w:p>
        </w:tc>
        <w:tc>
          <w:tcPr>
            <w:tcW w:w="1915" w:type="dxa"/>
            <w:vAlign w:val="center"/>
          </w:tcPr>
          <w:p w:rsidR="00724C03" w:rsidRDefault="00724C03" w:rsidP="00447C8B">
            <w:pPr>
              <w:pStyle w:val="NoSpacing"/>
              <w:jc w:val="center"/>
            </w:pPr>
            <w:r>
              <w:t>43606.00</w:t>
            </w:r>
          </w:p>
        </w:tc>
        <w:tc>
          <w:tcPr>
            <w:tcW w:w="1915" w:type="dxa"/>
            <w:vAlign w:val="center"/>
          </w:tcPr>
          <w:p w:rsidR="00724C03" w:rsidRDefault="00724C03" w:rsidP="00447C8B">
            <w:pPr>
              <w:pStyle w:val="NoSpacing"/>
              <w:jc w:val="center"/>
            </w:pPr>
            <w:r>
              <w:t>37283.63</w:t>
            </w:r>
          </w:p>
        </w:tc>
        <w:tc>
          <w:tcPr>
            <w:tcW w:w="1915" w:type="dxa"/>
            <w:vAlign w:val="center"/>
          </w:tcPr>
          <w:p w:rsidR="00724C03" w:rsidRDefault="00724C03" w:rsidP="00447C8B">
            <w:pPr>
              <w:pStyle w:val="NoSpacing"/>
              <w:jc w:val="center"/>
            </w:pPr>
            <w:r>
              <w:t>296</w:t>
            </w:r>
          </w:p>
        </w:tc>
        <w:tc>
          <w:tcPr>
            <w:tcW w:w="1916" w:type="dxa"/>
            <w:vAlign w:val="center"/>
          </w:tcPr>
          <w:p w:rsidR="00724C03" w:rsidRDefault="00724C03" w:rsidP="00447C8B">
            <w:pPr>
              <w:pStyle w:val="NoSpacing"/>
              <w:jc w:val="center"/>
            </w:pPr>
            <w:r>
              <w:t>267</w:t>
            </w:r>
          </w:p>
        </w:tc>
      </w:tr>
    </w:tbl>
    <w:p w:rsidR="003000B8" w:rsidRDefault="003000B8" w:rsidP="00634BA8">
      <w:pPr>
        <w:pStyle w:val="NoSpacing"/>
      </w:pPr>
    </w:p>
    <w:p w:rsidR="00724C03" w:rsidRDefault="00724C03" w:rsidP="00447C8B">
      <w:pPr>
        <w:pStyle w:val="NoSpacing"/>
        <w:ind w:firstLine="720"/>
        <w:jc w:val="both"/>
      </w:pPr>
      <w:r>
        <w:t xml:space="preserve">Important milestones are being set up as regards building constructions and the department </w:t>
      </w:r>
      <w:r w:rsidR="003861F1">
        <w:t>shoulders</w:t>
      </w:r>
      <w:r>
        <w:t xml:space="preserve"> </w:t>
      </w:r>
      <w:r w:rsidR="003861F1">
        <w:t xml:space="preserve">responsibility for creating </w:t>
      </w:r>
      <w:r w:rsidR="003B0516">
        <w:t>new infrastructures specifically in the area of</w:t>
      </w:r>
      <w:r w:rsidR="00447C8B">
        <w:t>:</w:t>
      </w:r>
    </w:p>
    <w:p w:rsidR="003B0516" w:rsidRDefault="003B0516" w:rsidP="00447C8B">
      <w:pPr>
        <w:pStyle w:val="NoSpacing"/>
        <w:jc w:val="both"/>
      </w:pPr>
    </w:p>
    <w:p w:rsidR="003B0516" w:rsidRDefault="003B0516" w:rsidP="00447C8B">
      <w:pPr>
        <w:pStyle w:val="NoSpacing"/>
        <w:numPr>
          <w:ilvl w:val="0"/>
          <w:numId w:val="1"/>
        </w:numPr>
        <w:spacing w:line="276" w:lineRule="auto"/>
        <w:jc w:val="both"/>
      </w:pPr>
      <w:r>
        <w:t>NAXAL Infested districts (Covering 17 districts)</w:t>
      </w:r>
      <w:r w:rsidR="00CB32A2">
        <w:t>.</w:t>
      </w:r>
    </w:p>
    <w:p w:rsidR="003B0516" w:rsidRDefault="003B0516" w:rsidP="00447C8B">
      <w:pPr>
        <w:pStyle w:val="NoSpacing"/>
        <w:numPr>
          <w:ilvl w:val="0"/>
          <w:numId w:val="1"/>
        </w:numPr>
        <w:spacing w:line="276" w:lineRule="auto"/>
        <w:jc w:val="both"/>
      </w:pPr>
      <w:r>
        <w:t xml:space="preserve">In the backward areas covered under TASP, SCCP, </w:t>
      </w:r>
      <w:proofErr w:type="gramStart"/>
      <w:r>
        <w:t>KBK</w:t>
      </w:r>
      <w:proofErr w:type="gramEnd"/>
      <w:r>
        <w:t xml:space="preserve"> districts</w:t>
      </w:r>
      <w:r w:rsidR="00CB32A2">
        <w:t>.</w:t>
      </w:r>
    </w:p>
    <w:p w:rsidR="00CB32A2" w:rsidRDefault="00CB32A2" w:rsidP="00447C8B">
      <w:pPr>
        <w:pStyle w:val="NoSpacing"/>
        <w:numPr>
          <w:ilvl w:val="0"/>
          <w:numId w:val="1"/>
        </w:numPr>
        <w:spacing w:line="276" w:lineRule="auto"/>
        <w:jc w:val="both"/>
      </w:pPr>
      <w:r>
        <w:t>ITI’S, Poly techniques, Engineering college / Schools to produce scale personnel abating the unemployed issues thereby generating Self Employment opportunities and also keeping abreast up to the exact need of growing Industry.</w:t>
      </w:r>
    </w:p>
    <w:p w:rsidR="002D47D3" w:rsidRDefault="00CB32A2" w:rsidP="00447C8B">
      <w:pPr>
        <w:pStyle w:val="NoSpacing"/>
        <w:numPr>
          <w:ilvl w:val="0"/>
          <w:numId w:val="1"/>
        </w:numPr>
        <w:spacing w:line="276" w:lineRule="auto"/>
        <w:jc w:val="both"/>
      </w:pPr>
      <w:r>
        <w:t>Infrastructures of Health Sector is prime focused area, where this department takes over most of the hospitals,</w:t>
      </w:r>
      <w:r w:rsidR="001103E1">
        <w:t xml:space="preserve"> dispensaries, CHC, PHC, UGPHC’S scattered throughout the state. The pioneering medical institute such as SCB MCH at Cuttack, VSS MCH at </w:t>
      </w:r>
      <w:proofErr w:type="spellStart"/>
      <w:r w:rsidR="001103E1">
        <w:t>Burla</w:t>
      </w:r>
      <w:proofErr w:type="spellEnd"/>
      <w:r w:rsidR="001103E1">
        <w:t xml:space="preserve"> and MKCG MCH at </w:t>
      </w:r>
      <w:proofErr w:type="spellStart"/>
      <w:r w:rsidR="001103E1">
        <w:t>Berhampur</w:t>
      </w:r>
      <w:proofErr w:type="spellEnd"/>
      <w:r w:rsidR="001103E1">
        <w:t xml:space="preserve">, also coming together with Homeopathy and </w:t>
      </w:r>
      <w:proofErr w:type="spellStart"/>
      <w:r w:rsidR="001103E1">
        <w:t>Ayurvedic</w:t>
      </w:r>
      <w:proofErr w:type="spellEnd"/>
      <w:r w:rsidR="001103E1">
        <w:t xml:space="preserve"> </w:t>
      </w:r>
      <w:r w:rsidR="002D47D3">
        <w:t>colleges at different locations throughout the state have also been constructed/taken care of by this department.</w:t>
      </w:r>
    </w:p>
    <w:p w:rsidR="002D47D3" w:rsidRDefault="002D47D3" w:rsidP="00447C8B">
      <w:pPr>
        <w:pStyle w:val="NoSpacing"/>
        <w:numPr>
          <w:ilvl w:val="0"/>
          <w:numId w:val="1"/>
        </w:numPr>
        <w:spacing w:line="276" w:lineRule="auto"/>
        <w:jc w:val="both"/>
      </w:pPr>
      <w:r>
        <w:t>Educational Institutions such as Govt</w:t>
      </w:r>
      <w:r w:rsidR="008D0A75">
        <w:t>. School &amp; Colleges.</w:t>
      </w:r>
    </w:p>
    <w:p w:rsidR="008D0A75" w:rsidRDefault="008D0A75" w:rsidP="00447C8B">
      <w:pPr>
        <w:pStyle w:val="NoSpacing"/>
        <w:numPr>
          <w:ilvl w:val="0"/>
          <w:numId w:val="1"/>
        </w:numPr>
        <w:spacing w:line="276" w:lineRule="auto"/>
        <w:jc w:val="both"/>
      </w:pPr>
      <w:r>
        <w:t>Sports Stadia &amp; hostels, sports complexes in different districts.</w:t>
      </w:r>
    </w:p>
    <w:p w:rsidR="008D0A75" w:rsidRDefault="008D0A75" w:rsidP="00447C8B">
      <w:pPr>
        <w:pStyle w:val="NoSpacing"/>
        <w:numPr>
          <w:ilvl w:val="0"/>
          <w:numId w:val="1"/>
        </w:numPr>
        <w:spacing w:line="276" w:lineRule="auto"/>
        <w:jc w:val="both"/>
      </w:pPr>
      <w:r>
        <w:t>Buildings of Art &amp; Cultural Centers.</w:t>
      </w:r>
    </w:p>
    <w:p w:rsidR="008D0A75" w:rsidRDefault="008D0A75" w:rsidP="00447C8B">
      <w:pPr>
        <w:pStyle w:val="NoSpacing"/>
        <w:numPr>
          <w:ilvl w:val="0"/>
          <w:numId w:val="1"/>
        </w:numPr>
        <w:spacing w:line="276" w:lineRule="auto"/>
        <w:jc w:val="both"/>
      </w:pPr>
      <w:r>
        <w:t>Court complexes, residential buildings of Judiciary staff, E-Court projects covering the entire State facilitating computerization of Court functioning.</w:t>
      </w:r>
    </w:p>
    <w:p w:rsidR="008D0A75" w:rsidRDefault="008D0A75" w:rsidP="00447C8B">
      <w:pPr>
        <w:pStyle w:val="NoSpacing"/>
        <w:numPr>
          <w:ilvl w:val="0"/>
          <w:numId w:val="1"/>
        </w:numPr>
        <w:spacing w:line="276" w:lineRule="auto"/>
        <w:jc w:val="both"/>
      </w:pPr>
      <w:r>
        <w:t xml:space="preserve">Infrastructures required for the new districts such as </w:t>
      </w:r>
      <w:proofErr w:type="spellStart"/>
      <w:r>
        <w:t>Collectorates</w:t>
      </w:r>
      <w:proofErr w:type="spellEnd"/>
      <w:r>
        <w:t>, residential accommodation of Collectors etc.</w:t>
      </w:r>
    </w:p>
    <w:p w:rsidR="008D0A75" w:rsidRDefault="008D0A75" w:rsidP="008D0A75">
      <w:pPr>
        <w:pStyle w:val="NoSpacing"/>
      </w:pPr>
    </w:p>
    <w:p w:rsidR="008D0A75" w:rsidRDefault="008D0A75" w:rsidP="008D0A75">
      <w:pPr>
        <w:pStyle w:val="NoSpacing"/>
        <w:rPr>
          <w:b/>
          <w:i/>
          <w:sz w:val="26"/>
          <w:szCs w:val="26"/>
        </w:rPr>
      </w:pPr>
      <w:r w:rsidRPr="00447C8B">
        <w:rPr>
          <w:b/>
          <w:i/>
          <w:sz w:val="26"/>
          <w:szCs w:val="26"/>
        </w:rPr>
        <w:t>Few important works taken up are listed below:</w:t>
      </w:r>
    </w:p>
    <w:p w:rsidR="00447C8B" w:rsidRPr="00447C8B" w:rsidRDefault="00447C8B" w:rsidP="008D0A75">
      <w:pPr>
        <w:pStyle w:val="NoSpacing"/>
      </w:pPr>
    </w:p>
    <w:tbl>
      <w:tblPr>
        <w:tblStyle w:val="TableGrid"/>
        <w:tblW w:w="0" w:type="auto"/>
        <w:tblLook w:val="04A0"/>
      </w:tblPr>
      <w:tblGrid>
        <w:gridCol w:w="1728"/>
        <w:gridCol w:w="6390"/>
        <w:gridCol w:w="1458"/>
      </w:tblGrid>
      <w:tr w:rsidR="008D0A75" w:rsidTr="00F12D03">
        <w:tc>
          <w:tcPr>
            <w:tcW w:w="1728" w:type="dxa"/>
          </w:tcPr>
          <w:p w:rsidR="008D0A75" w:rsidRPr="00447C8B" w:rsidRDefault="004772A5" w:rsidP="00447C8B">
            <w:pPr>
              <w:pStyle w:val="NoSpacing"/>
              <w:jc w:val="center"/>
              <w:rPr>
                <w:b/>
              </w:rPr>
            </w:pPr>
            <w:r w:rsidRPr="00447C8B">
              <w:rPr>
                <w:b/>
              </w:rPr>
              <w:t>Department</w:t>
            </w:r>
          </w:p>
        </w:tc>
        <w:tc>
          <w:tcPr>
            <w:tcW w:w="6390" w:type="dxa"/>
          </w:tcPr>
          <w:p w:rsidR="008D0A75" w:rsidRPr="00447C8B" w:rsidRDefault="004772A5" w:rsidP="00447C8B">
            <w:pPr>
              <w:pStyle w:val="NoSpacing"/>
              <w:jc w:val="center"/>
              <w:rPr>
                <w:b/>
              </w:rPr>
            </w:pPr>
            <w:r w:rsidRPr="00447C8B">
              <w:rPr>
                <w:b/>
              </w:rPr>
              <w:t>Projects</w:t>
            </w:r>
          </w:p>
        </w:tc>
        <w:tc>
          <w:tcPr>
            <w:tcW w:w="1458" w:type="dxa"/>
          </w:tcPr>
          <w:p w:rsidR="008D0A75" w:rsidRPr="00447C8B" w:rsidRDefault="004772A5" w:rsidP="00447C8B">
            <w:pPr>
              <w:pStyle w:val="NoSpacing"/>
              <w:jc w:val="center"/>
              <w:rPr>
                <w:b/>
              </w:rPr>
            </w:pPr>
            <w:r w:rsidRPr="00447C8B">
              <w:rPr>
                <w:b/>
              </w:rPr>
              <w:t>Project</w:t>
            </w:r>
            <w:r w:rsidR="00F12D03" w:rsidRPr="00447C8B">
              <w:rPr>
                <w:b/>
              </w:rPr>
              <w:t xml:space="preserve"> (</w:t>
            </w:r>
            <w:r w:rsidRPr="00447C8B">
              <w:rPr>
                <w:b/>
              </w:rPr>
              <w:t xml:space="preserve"> Cost</w:t>
            </w:r>
            <w:r w:rsidR="00F12D03" w:rsidRPr="00447C8B">
              <w:rPr>
                <w:b/>
              </w:rPr>
              <w:t xml:space="preserve"> </w:t>
            </w:r>
            <w:r w:rsidRPr="00447C8B">
              <w:rPr>
                <w:b/>
              </w:rPr>
              <w:t xml:space="preserve">In </w:t>
            </w:r>
            <w:proofErr w:type="spellStart"/>
            <w:r w:rsidRPr="00447C8B">
              <w:rPr>
                <w:b/>
              </w:rPr>
              <w:t>Lakh</w:t>
            </w:r>
            <w:proofErr w:type="spellEnd"/>
            <w:r w:rsidRPr="00447C8B">
              <w:rPr>
                <w:b/>
              </w:rPr>
              <w:t>)</w:t>
            </w:r>
          </w:p>
        </w:tc>
      </w:tr>
      <w:tr w:rsidR="008D0A75" w:rsidTr="00447C8B">
        <w:tc>
          <w:tcPr>
            <w:tcW w:w="1728" w:type="dxa"/>
            <w:vAlign w:val="center"/>
          </w:tcPr>
          <w:p w:rsidR="008D0A75" w:rsidRPr="00447C8B" w:rsidRDefault="004772A5" w:rsidP="00447C8B">
            <w:pPr>
              <w:pStyle w:val="NoSpacing"/>
              <w:jc w:val="center"/>
              <w:rPr>
                <w:b/>
              </w:rPr>
            </w:pPr>
            <w:r w:rsidRPr="00447C8B">
              <w:rPr>
                <w:b/>
              </w:rPr>
              <w:t>Works</w:t>
            </w:r>
          </w:p>
        </w:tc>
        <w:tc>
          <w:tcPr>
            <w:tcW w:w="6390" w:type="dxa"/>
            <w:vAlign w:val="center"/>
          </w:tcPr>
          <w:p w:rsidR="008D0A75" w:rsidRDefault="004772A5" w:rsidP="00447C8B">
            <w:pPr>
              <w:pStyle w:val="NoSpacing"/>
            </w:pPr>
            <w:r>
              <w:t>2</w:t>
            </w:r>
            <w:r w:rsidRPr="004772A5">
              <w:rPr>
                <w:vertAlign w:val="superscript"/>
              </w:rPr>
              <w:t>nd</w:t>
            </w:r>
            <w:r>
              <w:t xml:space="preserve"> floor of EAP building at Bhubaneswar.</w:t>
            </w:r>
          </w:p>
        </w:tc>
        <w:tc>
          <w:tcPr>
            <w:tcW w:w="1458" w:type="dxa"/>
            <w:vAlign w:val="center"/>
          </w:tcPr>
          <w:p w:rsidR="008D0A75" w:rsidRDefault="00AD7AFB" w:rsidP="00447C8B">
            <w:pPr>
              <w:pStyle w:val="NoSpacing"/>
              <w:jc w:val="right"/>
            </w:pPr>
            <w:r>
              <w:t>Rs. 646.30</w:t>
            </w:r>
          </w:p>
        </w:tc>
      </w:tr>
      <w:tr w:rsidR="00447C8B" w:rsidTr="00447C8B">
        <w:tc>
          <w:tcPr>
            <w:tcW w:w="1728" w:type="dxa"/>
            <w:vMerge w:val="restart"/>
            <w:vAlign w:val="center"/>
          </w:tcPr>
          <w:p w:rsidR="00447C8B" w:rsidRPr="00447C8B" w:rsidRDefault="00447C8B" w:rsidP="00447C8B">
            <w:pPr>
              <w:pStyle w:val="NoSpacing"/>
              <w:jc w:val="center"/>
              <w:rPr>
                <w:b/>
              </w:rPr>
            </w:pPr>
            <w:r w:rsidRPr="00447C8B">
              <w:rPr>
                <w:b/>
              </w:rPr>
              <w:t>Industries</w:t>
            </w:r>
          </w:p>
        </w:tc>
        <w:tc>
          <w:tcPr>
            <w:tcW w:w="6390" w:type="dxa"/>
            <w:vAlign w:val="center"/>
          </w:tcPr>
          <w:p w:rsidR="00447C8B" w:rsidRDefault="00447C8B" w:rsidP="00447C8B">
            <w:pPr>
              <w:pStyle w:val="NoSpacing"/>
            </w:pPr>
            <w:proofErr w:type="spellStart"/>
            <w:r>
              <w:t>Parala</w:t>
            </w:r>
            <w:proofErr w:type="spellEnd"/>
            <w:r>
              <w:t xml:space="preserve"> Maharaja Engineering College, </w:t>
            </w:r>
            <w:proofErr w:type="spellStart"/>
            <w:r>
              <w:t>Berhampur</w:t>
            </w:r>
            <w:proofErr w:type="spellEnd"/>
          </w:p>
        </w:tc>
        <w:tc>
          <w:tcPr>
            <w:tcW w:w="1458" w:type="dxa"/>
            <w:vAlign w:val="center"/>
          </w:tcPr>
          <w:p w:rsidR="00447C8B" w:rsidRDefault="00447C8B" w:rsidP="00447C8B">
            <w:pPr>
              <w:pStyle w:val="NoSpacing"/>
              <w:jc w:val="right"/>
            </w:pPr>
            <w:r>
              <w:t>Rs. 2371.72</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Govt. College of Engineering, </w:t>
            </w:r>
            <w:proofErr w:type="spellStart"/>
            <w:r>
              <w:t>Kalahandi</w:t>
            </w:r>
            <w:proofErr w:type="spellEnd"/>
            <w:r>
              <w:t xml:space="preserve">, </w:t>
            </w:r>
            <w:proofErr w:type="spellStart"/>
            <w:r>
              <w:t>Bhawanipatna</w:t>
            </w:r>
            <w:proofErr w:type="spellEnd"/>
            <w:r>
              <w:t>.</w:t>
            </w:r>
          </w:p>
        </w:tc>
        <w:tc>
          <w:tcPr>
            <w:tcW w:w="1458" w:type="dxa"/>
            <w:vAlign w:val="center"/>
          </w:tcPr>
          <w:p w:rsidR="00447C8B" w:rsidRDefault="00447C8B" w:rsidP="00447C8B">
            <w:pPr>
              <w:pStyle w:val="NoSpacing"/>
              <w:jc w:val="right"/>
            </w:pPr>
            <w:r>
              <w:t>Rs. 994.25</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Construction of new it is, Engineering Schools, Polytechnics including institutions blooming for Center of Excellence (Deposit)</w:t>
            </w:r>
          </w:p>
        </w:tc>
        <w:tc>
          <w:tcPr>
            <w:tcW w:w="1458" w:type="dxa"/>
            <w:vAlign w:val="center"/>
          </w:tcPr>
          <w:p w:rsidR="00447C8B" w:rsidRDefault="00447C8B" w:rsidP="00447C8B">
            <w:pPr>
              <w:pStyle w:val="NoSpacing"/>
              <w:jc w:val="right"/>
            </w:pPr>
            <w:r>
              <w:t>Rs. 5290.00</w:t>
            </w:r>
          </w:p>
        </w:tc>
      </w:tr>
      <w:tr w:rsidR="00447C8B" w:rsidTr="00447C8B">
        <w:tc>
          <w:tcPr>
            <w:tcW w:w="1728" w:type="dxa"/>
            <w:vMerge w:val="restart"/>
            <w:vAlign w:val="center"/>
          </w:tcPr>
          <w:p w:rsidR="00447C8B" w:rsidRPr="00447C8B" w:rsidRDefault="00447C8B" w:rsidP="00447C8B">
            <w:pPr>
              <w:pStyle w:val="NoSpacing"/>
              <w:jc w:val="center"/>
              <w:rPr>
                <w:b/>
              </w:rPr>
            </w:pPr>
            <w:r w:rsidRPr="00447C8B">
              <w:rPr>
                <w:b/>
              </w:rPr>
              <w:t>Health</w:t>
            </w:r>
          </w:p>
        </w:tc>
        <w:tc>
          <w:tcPr>
            <w:tcW w:w="6390" w:type="dxa"/>
            <w:vAlign w:val="center"/>
          </w:tcPr>
          <w:p w:rsidR="00447C8B" w:rsidRDefault="00447C8B" w:rsidP="00447C8B">
            <w:pPr>
              <w:pStyle w:val="NoSpacing"/>
            </w:pPr>
            <w:r>
              <w:t>Cardiology Institute, SCB MCH, Cuttack</w:t>
            </w:r>
          </w:p>
        </w:tc>
        <w:tc>
          <w:tcPr>
            <w:tcW w:w="1458" w:type="dxa"/>
            <w:vAlign w:val="center"/>
          </w:tcPr>
          <w:p w:rsidR="00447C8B" w:rsidRDefault="00447C8B" w:rsidP="00447C8B">
            <w:pPr>
              <w:pStyle w:val="NoSpacing"/>
              <w:jc w:val="right"/>
            </w:pPr>
            <w:r>
              <w:t>Rs. 843.76</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Dental wing of SCB MC &amp; H, Cuttack</w:t>
            </w:r>
          </w:p>
        </w:tc>
        <w:tc>
          <w:tcPr>
            <w:tcW w:w="1458" w:type="dxa"/>
            <w:vAlign w:val="center"/>
          </w:tcPr>
          <w:p w:rsidR="00447C8B" w:rsidRDefault="00447C8B" w:rsidP="00447C8B">
            <w:pPr>
              <w:pStyle w:val="NoSpacing"/>
              <w:jc w:val="right"/>
            </w:pPr>
            <w:r>
              <w:t>Rs. 1071.93</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Multi-stored building for Doctor’s of SCB MC &amp; H, Cuttack</w:t>
            </w:r>
          </w:p>
        </w:tc>
        <w:tc>
          <w:tcPr>
            <w:tcW w:w="1458" w:type="dxa"/>
            <w:vAlign w:val="center"/>
          </w:tcPr>
          <w:p w:rsidR="00447C8B" w:rsidRDefault="00447C8B" w:rsidP="00447C8B">
            <w:pPr>
              <w:pStyle w:val="NoSpacing"/>
              <w:jc w:val="right"/>
            </w:pPr>
            <w:r>
              <w:t>Rs. 800.30</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Pediatric ward of MKCG MC &amp; H, </w:t>
            </w:r>
            <w:proofErr w:type="spellStart"/>
            <w:r>
              <w:t>Berhampur</w:t>
            </w:r>
            <w:proofErr w:type="spellEnd"/>
          </w:p>
        </w:tc>
        <w:tc>
          <w:tcPr>
            <w:tcW w:w="1458" w:type="dxa"/>
            <w:vAlign w:val="center"/>
          </w:tcPr>
          <w:p w:rsidR="00447C8B" w:rsidRDefault="00447C8B" w:rsidP="00447C8B">
            <w:pPr>
              <w:pStyle w:val="NoSpacing"/>
              <w:jc w:val="right"/>
            </w:pPr>
            <w:r>
              <w:t>Rs. 193.38</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Medicine ward of the MKCG MC &amp; H, </w:t>
            </w:r>
            <w:proofErr w:type="spellStart"/>
            <w:r>
              <w:t>Berhampur</w:t>
            </w:r>
            <w:proofErr w:type="spellEnd"/>
          </w:p>
        </w:tc>
        <w:tc>
          <w:tcPr>
            <w:tcW w:w="1458" w:type="dxa"/>
            <w:vAlign w:val="center"/>
          </w:tcPr>
          <w:p w:rsidR="00447C8B" w:rsidRDefault="00447C8B" w:rsidP="00447C8B">
            <w:pPr>
              <w:pStyle w:val="NoSpacing"/>
              <w:jc w:val="right"/>
            </w:pPr>
            <w:r>
              <w:t>Rs. 273.87</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Orthopedic ward of the MKCG MC &amp; H, </w:t>
            </w:r>
            <w:proofErr w:type="spellStart"/>
            <w:r>
              <w:t>Berhampur</w:t>
            </w:r>
            <w:proofErr w:type="spellEnd"/>
          </w:p>
        </w:tc>
        <w:tc>
          <w:tcPr>
            <w:tcW w:w="1458" w:type="dxa"/>
            <w:vAlign w:val="center"/>
          </w:tcPr>
          <w:p w:rsidR="00447C8B" w:rsidRDefault="00447C8B" w:rsidP="00447C8B">
            <w:pPr>
              <w:pStyle w:val="NoSpacing"/>
              <w:jc w:val="right"/>
            </w:pPr>
            <w:r>
              <w:t>Rs. 152.60</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Library building of the MKCG MC &amp; H, </w:t>
            </w:r>
            <w:proofErr w:type="spellStart"/>
            <w:r>
              <w:t>Berhampur</w:t>
            </w:r>
            <w:proofErr w:type="spellEnd"/>
          </w:p>
        </w:tc>
        <w:tc>
          <w:tcPr>
            <w:tcW w:w="1458" w:type="dxa"/>
            <w:vAlign w:val="center"/>
          </w:tcPr>
          <w:p w:rsidR="00447C8B" w:rsidRDefault="00447C8B" w:rsidP="00447C8B">
            <w:pPr>
              <w:pStyle w:val="NoSpacing"/>
              <w:jc w:val="right"/>
            </w:pPr>
            <w:r>
              <w:t>Rs. 743.98</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Library building of V.S.S. Medical College, </w:t>
            </w:r>
            <w:proofErr w:type="spellStart"/>
            <w:r>
              <w:t>Burla</w:t>
            </w:r>
            <w:proofErr w:type="spellEnd"/>
          </w:p>
        </w:tc>
        <w:tc>
          <w:tcPr>
            <w:tcW w:w="1458" w:type="dxa"/>
            <w:vAlign w:val="center"/>
          </w:tcPr>
          <w:p w:rsidR="00447C8B" w:rsidRDefault="00447C8B" w:rsidP="00447C8B">
            <w:pPr>
              <w:pStyle w:val="NoSpacing"/>
              <w:jc w:val="right"/>
            </w:pPr>
            <w:r>
              <w:t>Rs. 50.65</w:t>
            </w:r>
          </w:p>
        </w:tc>
      </w:tr>
      <w:tr w:rsidR="00447C8B" w:rsidTr="00447C8B">
        <w:tc>
          <w:tcPr>
            <w:tcW w:w="1728" w:type="dxa"/>
            <w:vMerge w:val="restart"/>
            <w:vAlign w:val="center"/>
          </w:tcPr>
          <w:p w:rsidR="00447C8B" w:rsidRPr="00447C8B" w:rsidRDefault="00447C8B" w:rsidP="00447C8B">
            <w:pPr>
              <w:pStyle w:val="NoSpacing"/>
              <w:jc w:val="center"/>
              <w:rPr>
                <w:b/>
              </w:rPr>
            </w:pPr>
            <w:r w:rsidRPr="00447C8B">
              <w:rPr>
                <w:b/>
              </w:rPr>
              <w:t>Revenue</w:t>
            </w:r>
          </w:p>
        </w:tc>
        <w:tc>
          <w:tcPr>
            <w:tcW w:w="6390" w:type="dxa"/>
            <w:vAlign w:val="center"/>
          </w:tcPr>
          <w:p w:rsidR="00447C8B" w:rsidRDefault="00447C8B" w:rsidP="00447C8B">
            <w:pPr>
              <w:pStyle w:val="NoSpacing"/>
            </w:pPr>
            <w:proofErr w:type="spellStart"/>
            <w:r>
              <w:t>Collectorate</w:t>
            </w:r>
            <w:proofErr w:type="spellEnd"/>
            <w:r>
              <w:t xml:space="preserve"> building at </w:t>
            </w:r>
            <w:proofErr w:type="spellStart"/>
            <w:r>
              <w:t>Baragarh</w:t>
            </w:r>
            <w:proofErr w:type="spellEnd"/>
            <w:r>
              <w:t xml:space="preserve">, </w:t>
            </w:r>
            <w:proofErr w:type="spellStart"/>
            <w:r>
              <w:t>Jharsuguda</w:t>
            </w:r>
            <w:proofErr w:type="spellEnd"/>
            <w:r>
              <w:t xml:space="preserve">, </w:t>
            </w:r>
            <w:proofErr w:type="spellStart"/>
            <w:r>
              <w:t>Sonepur</w:t>
            </w:r>
            <w:proofErr w:type="spellEnd"/>
            <w:r>
              <w:t xml:space="preserve">, </w:t>
            </w:r>
            <w:proofErr w:type="spellStart"/>
            <w:r>
              <w:t>Nuapada</w:t>
            </w:r>
            <w:proofErr w:type="spellEnd"/>
            <w:r>
              <w:t xml:space="preserve">, </w:t>
            </w:r>
            <w:proofErr w:type="spellStart"/>
            <w:r>
              <w:t>Malkangiri</w:t>
            </w:r>
            <w:proofErr w:type="spellEnd"/>
            <w:r>
              <w:t xml:space="preserve">, </w:t>
            </w:r>
            <w:proofErr w:type="spellStart"/>
            <w:r>
              <w:t>Angul</w:t>
            </w:r>
            <w:proofErr w:type="spellEnd"/>
            <w:r>
              <w:t xml:space="preserve">, </w:t>
            </w:r>
            <w:proofErr w:type="spellStart"/>
            <w:r>
              <w:t>Rayagada</w:t>
            </w:r>
            <w:proofErr w:type="spellEnd"/>
            <w:r>
              <w:t>.</w:t>
            </w:r>
          </w:p>
        </w:tc>
        <w:tc>
          <w:tcPr>
            <w:tcW w:w="1458" w:type="dxa"/>
            <w:vAlign w:val="center"/>
          </w:tcPr>
          <w:p w:rsidR="00447C8B" w:rsidRDefault="00447C8B" w:rsidP="00447C8B">
            <w:pPr>
              <w:pStyle w:val="NoSpacing"/>
              <w:jc w:val="right"/>
            </w:pPr>
            <w:r>
              <w:t>Rs. 2685.13</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r>
              <w:t xml:space="preserve">Circuit House </w:t>
            </w:r>
            <w:proofErr w:type="spellStart"/>
            <w:r>
              <w:t>Sonepur</w:t>
            </w:r>
            <w:proofErr w:type="spellEnd"/>
            <w:r>
              <w:t xml:space="preserve">, </w:t>
            </w:r>
            <w:proofErr w:type="spellStart"/>
            <w:r>
              <w:t>Malkangiri</w:t>
            </w:r>
            <w:proofErr w:type="spellEnd"/>
            <w:r>
              <w:t xml:space="preserve">, </w:t>
            </w:r>
            <w:proofErr w:type="spellStart"/>
            <w:r>
              <w:t>Kendrapara</w:t>
            </w:r>
            <w:proofErr w:type="spellEnd"/>
            <w:r>
              <w:t xml:space="preserve">, </w:t>
            </w:r>
            <w:proofErr w:type="spellStart"/>
            <w:r>
              <w:t>Berhampur</w:t>
            </w:r>
            <w:proofErr w:type="spellEnd"/>
            <w:r>
              <w:t>.</w:t>
            </w:r>
          </w:p>
        </w:tc>
        <w:tc>
          <w:tcPr>
            <w:tcW w:w="1458" w:type="dxa"/>
            <w:vAlign w:val="center"/>
          </w:tcPr>
          <w:p w:rsidR="00447C8B" w:rsidRDefault="00447C8B" w:rsidP="00447C8B">
            <w:pPr>
              <w:pStyle w:val="NoSpacing"/>
              <w:jc w:val="right"/>
            </w:pPr>
            <w:r>
              <w:t>Rs. 502.36</w:t>
            </w:r>
          </w:p>
        </w:tc>
      </w:tr>
      <w:tr w:rsidR="00447C8B" w:rsidTr="00447C8B">
        <w:tc>
          <w:tcPr>
            <w:tcW w:w="1728" w:type="dxa"/>
            <w:vMerge/>
            <w:vAlign w:val="center"/>
          </w:tcPr>
          <w:p w:rsidR="00447C8B" w:rsidRPr="00447C8B" w:rsidRDefault="00447C8B" w:rsidP="00447C8B">
            <w:pPr>
              <w:pStyle w:val="NoSpacing"/>
              <w:jc w:val="center"/>
              <w:rPr>
                <w:b/>
              </w:rPr>
            </w:pPr>
          </w:p>
        </w:tc>
        <w:tc>
          <w:tcPr>
            <w:tcW w:w="6390" w:type="dxa"/>
            <w:vAlign w:val="center"/>
          </w:tcPr>
          <w:p w:rsidR="00447C8B" w:rsidRDefault="00447C8B" w:rsidP="00447C8B">
            <w:pPr>
              <w:pStyle w:val="NoSpacing"/>
            </w:pPr>
            <w:proofErr w:type="spellStart"/>
            <w:r>
              <w:t>Tahasil</w:t>
            </w:r>
            <w:proofErr w:type="spellEnd"/>
            <w:r>
              <w:t xml:space="preserve"> office at </w:t>
            </w:r>
            <w:proofErr w:type="spellStart"/>
            <w:r>
              <w:t>Kabisurya</w:t>
            </w:r>
            <w:proofErr w:type="spellEnd"/>
            <w:r>
              <w:t xml:space="preserve"> Nagar, </w:t>
            </w:r>
            <w:proofErr w:type="spellStart"/>
            <w:r>
              <w:t>Belguntha</w:t>
            </w:r>
            <w:proofErr w:type="spellEnd"/>
            <w:r>
              <w:t xml:space="preserve">, </w:t>
            </w:r>
            <w:proofErr w:type="spellStart"/>
            <w:r>
              <w:t>Polsora</w:t>
            </w:r>
            <w:proofErr w:type="spellEnd"/>
            <w:r>
              <w:t xml:space="preserve">, </w:t>
            </w:r>
            <w:proofErr w:type="spellStart"/>
            <w:r>
              <w:t>Ganjam</w:t>
            </w:r>
            <w:proofErr w:type="spellEnd"/>
            <w:r>
              <w:t xml:space="preserve">, </w:t>
            </w:r>
            <w:proofErr w:type="spellStart"/>
            <w:r>
              <w:t>Jatani</w:t>
            </w:r>
            <w:proofErr w:type="spellEnd"/>
            <w:r>
              <w:t>.</w:t>
            </w:r>
          </w:p>
        </w:tc>
        <w:tc>
          <w:tcPr>
            <w:tcW w:w="1458" w:type="dxa"/>
            <w:vAlign w:val="center"/>
          </w:tcPr>
          <w:p w:rsidR="00447C8B" w:rsidRDefault="00447C8B" w:rsidP="00447C8B">
            <w:pPr>
              <w:pStyle w:val="NoSpacing"/>
              <w:jc w:val="right"/>
            </w:pPr>
            <w:r>
              <w:t>Rs. 371.00</w:t>
            </w:r>
          </w:p>
        </w:tc>
      </w:tr>
      <w:tr w:rsidR="008D0A75" w:rsidTr="00447C8B">
        <w:tc>
          <w:tcPr>
            <w:tcW w:w="1728" w:type="dxa"/>
            <w:vAlign w:val="center"/>
          </w:tcPr>
          <w:p w:rsidR="008D0A75" w:rsidRPr="00447C8B" w:rsidRDefault="00656B97" w:rsidP="00447C8B">
            <w:pPr>
              <w:pStyle w:val="NoSpacing"/>
              <w:jc w:val="center"/>
              <w:rPr>
                <w:b/>
              </w:rPr>
            </w:pPr>
            <w:r w:rsidRPr="00447C8B">
              <w:rPr>
                <w:b/>
              </w:rPr>
              <w:t>Home</w:t>
            </w:r>
          </w:p>
        </w:tc>
        <w:tc>
          <w:tcPr>
            <w:tcW w:w="6390" w:type="dxa"/>
            <w:vAlign w:val="center"/>
          </w:tcPr>
          <w:p w:rsidR="008D0A75" w:rsidRDefault="00656B97" w:rsidP="00447C8B">
            <w:pPr>
              <w:pStyle w:val="NoSpacing"/>
            </w:pPr>
            <w:r>
              <w:t>Judicial Academy.</w:t>
            </w:r>
          </w:p>
        </w:tc>
        <w:tc>
          <w:tcPr>
            <w:tcW w:w="1458" w:type="dxa"/>
            <w:vAlign w:val="center"/>
          </w:tcPr>
          <w:p w:rsidR="008D0A75" w:rsidRDefault="00F12D03" w:rsidP="00447C8B">
            <w:pPr>
              <w:pStyle w:val="NoSpacing"/>
              <w:jc w:val="right"/>
            </w:pPr>
            <w:r>
              <w:t>Rs. 2063.46</w:t>
            </w:r>
          </w:p>
        </w:tc>
      </w:tr>
      <w:tr w:rsidR="008D0A75" w:rsidTr="00447C8B">
        <w:tc>
          <w:tcPr>
            <w:tcW w:w="1728" w:type="dxa"/>
            <w:vAlign w:val="center"/>
          </w:tcPr>
          <w:p w:rsidR="008D0A75" w:rsidRPr="00447C8B" w:rsidRDefault="00656B97" w:rsidP="00447C8B">
            <w:pPr>
              <w:pStyle w:val="NoSpacing"/>
              <w:jc w:val="center"/>
              <w:rPr>
                <w:b/>
              </w:rPr>
            </w:pPr>
            <w:r w:rsidRPr="00447C8B">
              <w:rPr>
                <w:b/>
              </w:rPr>
              <w:t>A</w:t>
            </w:r>
            <w:r w:rsidR="00AD7AFB" w:rsidRPr="00447C8B">
              <w:rPr>
                <w:b/>
              </w:rPr>
              <w:t>griculture</w:t>
            </w:r>
          </w:p>
        </w:tc>
        <w:tc>
          <w:tcPr>
            <w:tcW w:w="6390" w:type="dxa"/>
            <w:vAlign w:val="center"/>
          </w:tcPr>
          <w:p w:rsidR="008D0A75" w:rsidRDefault="00AD7AFB" w:rsidP="00447C8B">
            <w:pPr>
              <w:pStyle w:val="NoSpacing"/>
            </w:pPr>
            <w:r>
              <w:t xml:space="preserve">Construction of Administrative-cum-Academic block of Agriculture College at </w:t>
            </w:r>
            <w:proofErr w:type="spellStart"/>
            <w:r>
              <w:t>Bhawanipatana</w:t>
            </w:r>
            <w:proofErr w:type="spellEnd"/>
            <w:r>
              <w:t>.</w:t>
            </w:r>
          </w:p>
        </w:tc>
        <w:tc>
          <w:tcPr>
            <w:tcW w:w="1458" w:type="dxa"/>
            <w:vAlign w:val="center"/>
          </w:tcPr>
          <w:p w:rsidR="008D0A75" w:rsidRDefault="00F12D03" w:rsidP="00447C8B">
            <w:pPr>
              <w:pStyle w:val="NoSpacing"/>
              <w:jc w:val="right"/>
            </w:pPr>
            <w:r>
              <w:t>Rs. 576.12</w:t>
            </w:r>
          </w:p>
        </w:tc>
      </w:tr>
      <w:tr w:rsidR="008D0A75" w:rsidTr="00447C8B">
        <w:tc>
          <w:tcPr>
            <w:tcW w:w="1728" w:type="dxa"/>
            <w:vAlign w:val="center"/>
          </w:tcPr>
          <w:p w:rsidR="008D0A75" w:rsidRPr="00447C8B" w:rsidRDefault="00AD7AFB" w:rsidP="00447C8B">
            <w:pPr>
              <w:pStyle w:val="NoSpacing"/>
              <w:jc w:val="center"/>
              <w:rPr>
                <w:b/>
              </w:rPr>
            </w:pPr>
            <w:r w:rsidRPr="00447C8B">
              <w:rPr>
                <w:b/>
              </w:rPr>
              <w:t>Higher Education</w:t>
            </w:r>
          </w:p>
        </w:tc>
        <w:tc>
          <w:tcPr>
            <w:tcW w:w="6390" w:type="dxa"/>
            <w:vAlign w:val="center"/>
          </w:tcPr>
          <w:p w:rsidR="008D0A75" w:rsidRDefault="00AD7AFB" w:rsidP="00447C8B">
            <w:pPr>
              <w:pStyle w:val="NoSpacing"/>
            </w:pPr>
            <w:r>
              <w:t>S. G. Women’s College, Rourkela.</w:t>
            </w:r>
          </w:p>
        </w:tc>
        <w:tc>
          <w:tcPr>
            <w:tcW w:w="1458" w:type="dxa"/>
            <w:vAlign w:val="center"/>
          </w:tcPr>
          <w:p w:rsidR="008D0A75" w:rsidRDefault="00F12D03" w:rsidP="00447C8B">
            <w:pPr>
              <w:pStyle w:val="NoSpacing"/>
              <w:jc w:val="right"/>
            </w:pPr>
            <w:r>
              <w:t>Rs. 385.96</w:t>
            </w:r>
          </w:p>
        </w:tc>
      </w:tr>
    </w:tbl>
    <w:p w:rsidR="008D0A75" w:rsidRDefault="008D0A75" w:rsidP="008D0A75">
      <w:pPr>
        <w:pStyle w:val="NoSpacing"/>
      </w:pPr>
    </w:p>
    <w:p w:rsidR="00713BBE" w:rsidRDefault="00713BBE" w:rsidP="00447C8B">
      <w:pPr>
        <w:pStyle w:val="NoSpacing"/>
        <w:ind w:firstLine="720"/>
        <w:jc w:val="both"/>
      </w:pPr>
      <w:r>
        <w:t>The Statistics of the recent years say that the plinth area of the Capital building Assets covering the entire state as on 2010-11 is 7935159</w:t>
      </w:r>
      <w:r w:rsidR="00CB19CD">
        <w:t xml:space="preserve"> </w:t>
      </w:r>
      <w:proofErr w:type="spellStart"/>
      <w:r>
        <w:t>sqm</w:t>
      </w:r>
      <w:proofErr w:type="spellEnd"/>
      <w:r>
        <w:t>. (Both Res. &amp; Non Res.)</w:t>
      </w:r>
      <w:r w:rsidR="00CB19CD">
        <w:t xml:space="preserve"> </w:t>
      </w:r>
      <w:proofErr w:type="gramStart"/>
      <w:r w:rsidR="00CB19CD">
        <w:t>and</w:t>
      </w:r>
      <w:proofErr w:type="gramEnd"/>
      <w:r w:rsidR="00CB19CD">
        <w:t xml:space="preserve"> undergo a substantial increase in the subsequent year i.e. 2011-12 totaling to 8292241 </w:t>
      </w:r>
      <w:proofErr w:type="spellStart"/>
      <w:r w:rsidR="00CB19CD">
        <w:t>sqm</w:t>
      </w:r>
      <w:proofErr w:type="spellEnd"/>
      <w:r w:rsidR="00CB19CD">
        <w:t>. (Both Res. &amp; Non Res.). The increase as observed is 4.40% (say 5%) every year. Looking at the current trend growth in the plinth area it could be said that Works Department would be hand</w:t>
      </w:r>
      <w:r w:rsidR="003A50DE">
        <w:t xml:space="preserve">ling a huge no of buildings having plinth area 8665392 </w:t>
      </w:r>
      <w:proofErr w:type="spellStart"/>
      <w:r w:rsidR="003A50DE">
        <w:t>sqm</w:t>
      </w:r>
      <w:proofErr w:type="spellEnd"/>
      <w:r w:rsidR="003A50DE">
        <w:t>. (</w:t>
      </w:r>
      <w:proofErr w:type="gramStart"/>
      <w:r w:rsidR="003A50DE">
        <w:t>both</w:t>
      </w:r>
      <w:proofErr w:type="gramEnd"/>
      <w:r w:rsidR="003A50DE">
        <w:t xml:space="preserve"> Res. &amp; Non-Res.) </w:t>
      </w:r>
      <w:proofErr w:type="gramStart"/>
      <w:r w:rsidR="003A50DE">
        <w:t>as</w:t>
      </w:r>
      <w:proofErr w:type="gramEnd"/>
      <w:r w:rsidR="003A50DE">
        <w:t xml:space="preserve"> projected for the year 2012-13. This includes the new constructions of upcoming projects programmed for the year 2011-12 as well as up keeping the existing infrastructures. This involves meticulous planning, prioritization, innovative designs and implementation, of course coupled with a pre-thought for post implementation activities to have a holistic approach and accomplishment of project within the scheduled time.</w:t>
      </w:r>
    </w:p>
    <w:p w:rsidR="00447C8B" w:rsidRDefault="00447C8B" w:rsidP="008D0A75">
      <w:pPr>
        <w:pStyle w:val="NoSpacing"/>
      </w:pPr>
    </w:p>
    <w:p w:rsidR="00447C8B" w:rsidRDefault="00447C8B" w:rsidP="008D0A75">
      <w:pPr>
        <w:pStyle w:val="NoSpacing"/>
      </w:pPr>
    </w:p>
    <w:sectPr w:rsidR="00447C8B" w:rsidSect="00582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22AC"/>
    <w:multiLevelType w:val="hybridMultilevel"/>
    <w:tmpl w:val="B4AE2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4BA8"/>
    <w:rsid w:val="001103E1"/>
    <w:rsid w:val="00257494"/>
    <w:rsid w:val="002D47D3"/>
    <w:rsid w:val="003000B8"/>
    <w:rsid w:val="003861F1"/>
    <w:rsid w:val="003A50DE"/>
    <w:rsid w:val="003B0516"/>
    <w:rsid w:val="00447C8B"/>
    <w:rsid w:val="004772A5"/>
    <w:rsid w:val="00582520"/>
    <w:rsid w:val="00634BA8"/>
    <w:rsid w:val="00656B97"/>
    <w:rsid w:val="00713BBE"/>
    <w:rsid w:val="00724C03"/>
    <w:rsid w:val="008D0A75"/>
    <w:rsid w:val="00A0036F"/>
    <w:rsid w:val="00AD7AFB"/>
    <w:rsid w:val="00CB19CD"/>
    <w:rsid w:val="00CB32A2"/>
    <w:rsid w:val="00F12D03"/>
    <w:rsid w:val="00FE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BA8"/>
    <w:pPr>
      <w:spacing w:after="0" w:line="240" w:lineRule="auto"/>
    </w:pPr>
  </w:style>
  <w:style w:type="table" w:styleId="TableGrid">
    <w:name w:val="Table Grid"/>
    <w:basedOn w:val="TableNormal"/>
    <w:uiPriority w:val="59"/>
    <w:rsid w:val="0030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87ED-9E2C-49F7-9F6F-664F4847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dc:creator>
  <cp:keywords/>
  <dc:description/>
  <cp:lastModifiedBy>MCL</cp:lastModifiedBy>
  <cp:revision>6</cp:revision>
  <dcterms:created xsi:type="dcterms:W3CDTF">2012-11-17T06:34:00Z</dcterms:created>
  <dcterms:modified xsi:type="dcterms:W3CDTF">2012-11-17T12:04:00Z</dcterms:modified>
</cp:coreProperties>
</file>